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1E7F089F" w:rsidR="00140390" w:rsidRPr="00785232" w:rsidRDefault="00E928C0" w:rsidP="00140390">
      <w:pPr>
        <w:ind w:left="4500" w:firstLine="720"/>
        <w:rPr>
          <w:sz w:val="26"/>
        </w:rPr>
      </w:pPr>
      <w:r>
        <w:rPr>
          <w:sz w:val="26"/>
        </w:rPr>
        <w:t>03.09</w:t>
      </w:r>
      <w:r w:rsidR="00C8625C">
        <w:rPr>
          <w:sz w:val="26"/>
        </w:rPr>
        <w:t>.20</w:t>
      </w:r>
      <w:r w:rsidR="00624B59">
        <w:rPr>
          <w:sz w:val="26"/>
        </w:rPr>
        <w:t>2</w:t>
      </w:r>
      <w:r w:rsidR="00B468F7">
        <w:rPr>
          <w:sz w:val="26"/>
        </w:rPr>
        <w:t>5</w:t>
      </w:r>
      <w:r w:rsidR="00140390" w:rsidRPr="00785232">
        <w:rPr>
          <w:sz w:val="26"/>
        </w:rPr>
        <w:t>. lēmumu Nr.</w:t>
      </w:r>
      <w:r>
        <w:rPr>
          <w:sz w:val="26"/>
        </w:rPr>
        <w:t>2596</w:t>
      </w:r>
    </w:p>
    <w:p w14:paraId="0CB90981" w14:textId="58FCA75B" w:rsidR="00140390" w:rsidRPr="00785232" w:rsidRDefault="00140390" w:rsidP="00140390">
      <w:pPr>
        <w:ind w:left="5220" w:firstLine="720"/>
        <w:rPr>
          <w:sz w:val="26"/>
        </w:rPr>
      </w:pPr>
      <w:r w:rsidRPr="00785232">
        <w:rPr>
          <w:sz w:val="26"/>
        </w:rPr>
        <w:t>(prot.</w:t>
      </w:r>
      <w:r w:rsidR="00E928C0">
        <w:rPr>
          <w:sz w:val="26"/>
        </w:rPr>
        <w:t xml:space="preserve"> </w:t>
      </w:r>
      <w:r w:rsidRPr="00785232">
        <w:rPr>
          <w:sz w:val="26"/>
        </w:rPr>
        <w:t>Nr.</w:t>
      </w:r>
      <w:r w:rsidR="00E928C0">
        <w:rPr>
          <w:sz w:val="26"/>
        </w:rPr>
        <w:t>33</w:t>
      </w:r>
      <w:r w:rsidRPr="00785232">
        <w:rPr>
          <w:sz w:val="26"/>
        </w:rPr>
        <w:t>,</w:t>
      </w:r>
      <w:r w:rsidR="00E928C0">
        <w:rPr>
          <w:sz w:val="26"/>
        </w:rPr>
        <w:t xml:space="preserve"> 6</w:t>
      </w:r>
      <w:r w:rsidRPr="00785232">
        <w:rPr>
          <w:sz w:val="26"/>
        </w:rPr>
        <w:t>.</w:t>
      </w:r>
      <w:r w:rsidR="00E928C0">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1F9E84D4"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proofErr w:type="spellStart"/>
      <w:r w:rsidR="00656CE1">
        <w:rPr>
          <w:b/>
          <w:sz w:val="26"/>
        </w:rPr>
        <w:t>Ojāras</w:t>
      </w:r>
      <w:proofErr w:type="spellEnd"/>
      <w:r w:rsidR="00656CE1">
        <w:rPr>
          <w:b/>
          <w:sz w:val="26"/>
        </w:rPr>
        <w:t xml:space="preserve"> Vācieša</w:t>
      </w:r>
      <w:r w:rsidR="00940285" w:rsidRPr="00940285">
        <w:rPr>
          <w:b/>
          <w:sz w:val="26"/>
        </w:rPr>
        <w:t xml:space="preserve"> ielā </w:t>
      </w:r>
      <w:r w:rsidR="00656CE1">
        <w:rPr>
          <w:b/>
          <w:sz w:val="26"/>
        </w:rPr>
        <w:t>48</w:t>
      </w:r>
      <w:r w:rsidR="00940285" w:rsidRPr="00940285">
        <w:rPr>
          <w:b/>
          <w:sz w:val="26"/>
        </w:rPr>
        <w:t>-</w:t>
      </w:r>
      <w:r w:rsidR="00656CE1">
        <w:rPr>
          <w:b/>
          <w:sz w:val="26"/>
        </w:rPr>
        <w:t>2</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2ED88E9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656CE1">
        <w:rPr>
          <w:b/>
          <w:sz w:val="26"/>
        </w:rPr>
        <w:t>Ojāra Vācieša</w:t>
      </w:r>
      <w:r w:rsidR="00940285" w:rsidRPr="00940285">
        <w:rPr>
          <w:b/>
          <w:sz w:val="26"/>
        </w:rPr>
        <w:t xml:space="preserve"> iel</w:t>
      </w:r>
      <w:r w:rsidR="00940285">
        <w:rPr>
          <w:b/>
          <w:sz w:val="26"/>
        </w:rPr>
        <w:t>a</w:t>
      </w:r>
      <w:r w:rsidR="00940285" w:rsidRPr="00940285">
        <w:rPr>
          <w:b/>
          <w:sz w:val="26"/>
        </w:rPr>
        <w:t xml:space="preserve"> </w:t>
      </w:r>
      <w:r w:rsidR="00656CE1">
        <w:rPr>
          <w:b/>
          <w:sz w:val="26"/>
        </w:rPr>
        <w:t>48</w:t>
      </w:r>
      <w:r w:rsidR="00940285" w:rsidRPr="00940285">
        <w:rPr>
          <w:b/>
          <w:sz w:val="26"/>
        </w:rPr>
        <w:t>-</w:t>
      </w:r>
      <w:r w:rsidR="00656CE1">
        <w:rPr>
          <w:b/>
          <w:sz w:val="26"/>
        </w:rPr>
        <w:t>2</w:t>
      </w:r>
      <w:r w:rsidR="0015608A" w:rsidRPr="0047050E">
        <w:rPr>
          <w:b/>
          <w:sz w:val="26"/>
        </w:rPr>
        <w:t>,</w:t>
      </w:r>
      <w:r w:rsidR="0015608A" w:rsidRPr="006E4371">
        <w:rPr>
          <w:b/>
          <w:bCs/>
          <w:sz w:val="26"/>
        </w:rPr>
        <w:t xml:space="preserve"> Rīga</w:t>
      </w:r>
      <w:r w:rsidR="00607ED7">
        <w:rPr>
          <w:bCs/>
          <w:iCs/>
          <w:sz w:val="26"/>
        </w:rPr>
        <w:t>;</w:t>
      </w:r>
    </w:p>
    <w:p w14:paraId="1B9A41E5" w14:textId="6A7A331A"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656CE1">
        <w:rPr>
          <w:bCs/>
          <w:iCs/>
          <w:sz w:val="26"/>
        </w:rPr>
        <w:t>2</w:t>
      </w:r>
      <w:r w:rsidR="009567DA">
        <w:rPr>
          <w:bCs/>
          <w:iCs/>
          <w:sz w:val="26"/>
        </w:rPr>
        <w:t>-istab</w:t>
      </w:r>
      <w:r w:rsidR="00656CE1">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5918BF">
        <w:rPr>
          <w:b/>
          <w:bCs/>
          <w:i/>
          <w:iCs/>
          <w:sz w:val="26"/>
        </w:rPr>
        <w:t>9</w:t>
      </w:r>
      <w:r w:rsidR="009567DA">
        <w:rPr>
          <w:b/>
          <w:bCs/>
          <w:i/>
          <w:iCs/>
          <w:sz w:val="26"/>
        </w:rPr>
        <w:t xml:space="preserve"> </w:t>
      </w:r>
      <w:r w:rsidR="00ED0BF5">
        <w:rPr>
          <w:b/>
          <w:bCs/>
          <w:i/>
          <w:iCs/>
          <w:sz w:val="26"/>
        </w:rPr>
        <w:t>3</w:t>
      </w:r>
      <w:r w:rsidR="00DD70BD">
        <w:rPr>
          <w:b/>
          <w:bCs/>
          <w:i/>
          <w:iCs/>
          <w:sz w:val="26"/>
        </w:rPr>
        <w:t>3</w:t>
      </w:r>
      <w:r w:rsidR="00656CE1">
        <w:rPr>
          <w:b/>
          <w:bCs/>
          <w:i/>
          <w:iCs/>
          <w:sz w:val="26"/>
        </w:rPr>
        <w:t>81</w:t>
      </w:r>
      <w:r w:rsidR="009567DA" w:rsidRPr="009567DA">
        <w:rPr>
          <w:sz w:val="26"/>
        </w:rPr>
        <w:t xml:space="preserve">, </w:t>
      </w:r>
      <w:r w:rsidR="009567DA">
        <w:rPr>
          <w:sz w:val="26"/>
        </w:rPr>
        <w:t xml:space="preserve">kopējā </w:t>
      </w:r>
      <w:r w:rsidR="00094C29">
        <w:rPr>
          <w:bCs/>
          <w:iCs/>
          <w:sz w:val="26"/>
        </w:rPr>
        <w:t xml:space="preserve">platība </w:t>
      </w:r>
      <w:r w:rsidR="00656CE1">
        <w:rPr>
          <w:bCs/>
          <w:iCs/>
          <w:sz w:val="26"/>
        </w:rPr>
        <w:t>41.5</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656CE1">
        <w:rPr>
          <w:b/>
          <w:i/>
          <w:sz w:val="26"/>
        </w:rPr>
        <w:t>4120</w:t>
      </w:r>
      <w:r w:rsidR="002F32C2">
        <w:rPr>
          <w:b/>
          <w:i/>
          <w:sz w:val="26"/>
        </w:rPr>
        <w:t>/</w:t>
      </w:r>
      <w:r w:rsidR="00656CE1">
        <w:rPr>
          <w:b/>
          <w:i/>
          <w:sz w:val="26"/>
        </w:rPr>
        <w:t>21910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ED0BF5">
        <w:rPr>
          <w:sz w:val="26"/>
          <w:szCs w:val="20"/>
        </w:rPr>
        <w:t xml:space="preserve"> </w:t>
      </w:r>
      <w:r w:rsidR="00DD70BD">
        <w:rPr>
          <w:noProof/>
          <w:sz w:val="26"/>
          <w:szCs w:val="26"/>
        </w:rPr>
        <w:t>(kadastra apzīmējums 0100</w:t>
      </w:r>
      <w:r w:rsidR="00656CE1">
        <w:rPr>
          <w:noProof/>
          <w:sz w:val="26"/>
          <w:szCs w:val="26"/>
        </w:rPr>
        <w:t>1062125</w:t>
      </w:r>
      <w:r w:rsidR="00DD70BD">
        <w:rPr>
          <w:noProof/>
          <w:sz w:val="26"/>
          <w:szCs w:val="26"/>
        </w:rPr>
        <w:t>001),</w:t>
      </w:r>
      <w:r w:rsidR="00DD70BD" w:rsidRPr="00724B9C">
        <w:rPr>
          <w:noProof/>
          <w:sz w:val="26"/>
          <w:szCs w:val="26"/>
        </w:rPr>
        <w:t xml:space="preserve"> </w:t>
      </w:r>
      <w:r w:rsidR="00DD70BD">
        <w:rPr>
          <w:noProof/>
          <w:sz w:val="26"/>
          <w:szCs w:val="26"/>
        </w:rPr>
        <w:t xml:space="preserve">un zemes </w:t>
      </w:r>
      <w:r w:rsidR="00DD70BD" w:rsidRPr="004623FD">
        <w:rPr>
          <w:noProof/>
          <w:sz w:val="26"/>
          <w:szCs w:val="26"/>
        </w:rPr>
        <w:t>vienības</w:t>
      </w:r>
      <w:r w:rsidR="00DD70BD">
        <w:rPr>
          <w:noProof/>
          <w:sz w:val="26"/>
          <w:szCs w:val="26"/>
        </w:rPr>
        <w:t xml:space="preserve"> (kadastra apzīmējums </w:t>
      </w:r>
      <w:r w:rsidR="00A8492D">
        <w:rPr>
          <w:noProof/>
          <w:sz w:val="26"/>
          <w:szCs w:val="26"/>
        </w:rPr>
        <w:t>0100</w:t>
      </w:r>
      <w:r w:rsidR="00656CE1">
        <w:rPr>
          <w:noProof/>
          <w:sz w:val="26"/>
          <w:szCs w:val="26"/>
        </w:rPr>
        <w:t>1062125</w:t>
      </w:r>
      <w:r w:rsidR="00DD70BD">
        <w:rPr>
          <w:noProof/>
          <w:sz w:val="26"/>
          <w:szCs w:val="26"/>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A24E461" w14:textId="43AFEF60" w:rsidR="00A8492D" w:rsidRDefault="004A30D4" w:rsidP="00A8492D">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A8492D">
        <w:rPr>
          <w:sz w:val="26"/>
          <w:szCs w:val="20"/>
        </w:rPr>
        <w:t>Pārdaugava</w:t>
      </w:r>
      <w:r w:rsidR="009B71C1" w:rsidRPr="000B02D6">
        <w:rPr>
          <w:sz w:val="26"/>
          <w:szCs w:val="20"/>
        </w:rPr>
        <w:t xml:space="preserve">” </w:t>
      </w:r>
      <w:r w:rsidR="00A8492D">
        <w:rPr>
          <w:sz w:val="26"/>
          <w:szCs w:val="20"/>
        </w:rPr>
        <w:t>14</w:t>
      </w:r>
      <w:r w:rsidR="009B71C1">
        <w:rPr>
          <w:sz w:val="26"/>
          <w:szCs w:val="20"/>
        </w:rPr>
        <w:t>.</w:t>
      </w:r>
      <w:r w:rsidR="00A8492D">
        <w:rPr>
          <w:sz w:val="26"/>
          <w:szCs w:val="20"/>
        </w:rPr>
        <w:t>11</w:t>
      </w:r>
      <w:r w:rsidR="009B71C1">
        <w:rPr>
          <w:sz w:val="26"/>
          <w:szCs w:val="20"/>
        </w:rPr>
        <w:t>.2024. sastādītaj</w:t>
      </w:r>
      <w:r w:rsidR="00B767B9">
        <w:rPr>
          <w:sz w:val="26"/>
          <w:szCs w:val="20"/>
        </w:rPr>
        <w:t>ā</w:t>
      </w:r>
      <w:r w:rsidR="009B71C1" w:rsidRPr="000B02D6">
        <w:rPr>
          <w:sz w:val="26"/>
          <w:szCs w:val="20"/>
        </w:rPr>
        <w:t xml:space="preserve"> brīvās dzīvojamās telpas </w:t>
      </w:r>
      <w:r w:rsidR="00A8492D">
        <w:rPr>
          <w:sz w:val="26"/>
          <w:szCs w:val="20"/>
        </w:rPr>
        <w:t>Ojāra Vācieša ielā 48-2</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0"/>
      <w:r w:rsidR="009B71C1">
        <w:rPr>
          <w:sz w:val="26"/>
          <w:szCs w:val="20"/>
        </w:rPr>
        <w:t>.</w:t>
      </w:r>
      <w:r w:rsidR="00A8492D">
        <w:rPr>
          <w:sz w:val="26"/>
          <w:szCs w:val="20"/>
        </w:rPr>
        <w:t xml:space="preserve"> Koplietošanas sausā tualete atrodas kāpņu telpā. </w:t>
      </w:r>
    </w:p>
    <w:p w14:paraId="0DFE6958" w14:textId="5A791AE8"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5D445B">
        <w:rPr>
          <w:b/>
          <w:iCs/>
          <w:sz w:val="26"/>
          <w:szCs w:val="26"/>
        </w:rPr>
        <w:t>2</w:t>
      </w:r>
      <w:r w:rsidR="00A8492D">
        <w:rPr>
          <w:b/>
          <w:iCs/>
          <w:sz w:val="26"/>
          <w:szCs w:val="26"/>
        </w:rPr>
        <w:t>6</w:t>
      </w:r>
      <w:r w:rsidR="005D445B">
        <w:rPr>
          <w:b/>
          <w:iCs/>
          <w:sz w:val="26"/>
          <w:szCs w:val="26"/>
        </w:rPr>
        <w:t>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516CD522"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5D445B">
        <w:rPr>
          <w:b/>
          <w:bCs/>
          <w:sz w:val="26"/>
          <w:szCs w:val="20"/>
        </w:rPr>
        <w:t>10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7777777"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25368" w14:textId="77777777" w:rsidR="00257243" w:rsidRDefault="00257243">
      <w:r>
        <w:separator/>
      </w:r>
    </w:p>
  </w:endnote>
  <w:endnote w:type="continuationSeparator" w:id="0">
    <w:p w14:paraId="6129F1DB" w14:textId="77777777" w:rsidR="00257243" w:rsidRDefault="0025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7ED54" w14:textId="77777777" w:rsidR="00257243" w:rsidRDefault="00257243">
      <w:r>
        <w:separator/>
      </w:r>
    </w:p>
  </w:footnote>
  <w:footnote w:type="continuationSeparator" w:id="0">
    <w:p w14:paraId="401BAEDE" w14:textId="77777777" w:rsidR="00257243" w:rsidRDefault="00257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243"/>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3E25"/>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18BF"/>
    <w:rsid w:val="00592287"/>
    <w:rsid w:val="005A3806"/>
    <w:rsid w:val="005B0B33"/>
    <w:rsid w:val="005D445B"/>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56CE1"/>
    <w:rsid w:val="006653F0"/>
    <w:rsid w:val="006772D4"/>
    <w:rsid w:val="006940B0"/>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6E77A6"/>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A2014"/>
    <w:rsid w:val="007A37DD"/>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1A"/>
    <w:rsid w:val="009E07CB"/>
    <w:rsid w:val="009E5C03"/>
    <w:rsid w:val="009F0D11"/>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492D"/>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66331"/>
    <w:rsid w:val="00B7060F"/>
    <w:rsid w:val="00B767B9"/>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CF7F9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5C0C"/>
    <w:rsid w:val="00D97F3C"/>
    <w:rsid w:val="00DA206C"/>
    <w:rsid w:val="00DA31E3"/>
    <w:rsid w:val="00DA40C4"/>
    <w:rsid w:val="00DA6A02"/>
    <w:rsid w:val="00DB1B72"/>
    <w:rsid w:val="00DB58CD"/>
    <w:rsid w:val="00DB731F"/>
    <w:rsid w:val="00DC0F55"/>
    <w:rsid w:val="00DC5070"/>
    <w:rsid w:val="00DC5121"/>
    <w:rsid w:val="00DC79F8"/>
    <w:rsid w:val="00DD70BD"/>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28C0"/>
    <w:rsid w:val="00E93798"/>
    <w:rsid w:val="00E95695"/>
    <w:rsid w:val="00EA4221"/>
    <w:rsid w:val="00EB1F2C"/>
    <w:rsid w:val="00EB5FA3"/>
    <w:rsid w:val="00EB6DAC"/>
    <w:rsid w:val="00EC12E7"/>
    <w:rsid w:val="00ED0BF5"/>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1FBC"/>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7B11"/>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194886">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2444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5761</Words>
  <Characters>3285</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7</cp:revision>
  <cp:lastPrinted>2025-08-27T11:15:00Z</cp:lastPrinted>
  <dcterms:created xsi:type="dcterms:W3CDTF">2025-08-27T11:00:00Z</dcterms:created>
  <dcterms:modified xsi:type="dcterms:W3CDTF">2025-09-26T07:23:00Z</dcterms:modified>
</cp:coreProperties>
</file>